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85317" cy="685800"/>
            <wp:docPr id="1" name="Picture 1" descr="Meadowline Veterinary Car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terinary-animal-care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85317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New client information checklist</w:t>
      </w:r>
    </w:p>
    <w:p>
      <w:r>
        <w:rPr>
          <w:b/>
          <w:color w:val="184848"/>
        </w:rPr>
        <w:t>Meadowline Veterinary Care</w:t>
      </w:r>
    </w:p>
    <w:p>
      <w:r>
        <w:rPr>
          <w:color w:val="4C5966"/>
          <w:sz w:val="18"/>
        </w:rPr>
        <w:t>Complete the response areas in Word, or print and write in the spaces provided. For administrative use only; do not record clinical information here.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Client reference and approved contact route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Animal reference species and visit purpose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Preferred appointment timing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Prior record transfer through the practice’s approved process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Arrival and access instructions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Outstanding administrative questions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Meadowline Veterinary Care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New-client information checklist</dc:title>
  <dc:subject>Meadowline Veterinary Care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