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21818" cy="685800"/>
            <wp:docPr id="1" name="Picture 1" descr="Prairie Gather Rental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ntal-business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1818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Rental agreement checklist</w:t>
      </w:r>
    </w:p>
    <w:p>
      <w:r>
        <w:rPr>
          <w:b/>
          <w:color w:val="181830"/>
        </w:rPr>
        <w:t>Prairie Gather Rentals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Rental items quantities and accessories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Pickup and return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Condition report and inspection process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Approved payment deposit and cancellation terms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Responsibility and damage provisions for qualified review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Signed agreement reference and open questions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1830"/>
        <w:sz w:val="16"/>
      </w:rPr>
      <w:t>Prairie Gather Rentals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agreement checklist</dc:title>
  <dc:subject>Prairie Gather Rentals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