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270554" cy="685800"/>
            <wp:docPr id="1" name="Picture 1" descr="Prairie Crest Law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w-off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0554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Matter opening document checklist</w:t>
      </w:r>
    </w:p>
    <w:p>
      <w:r>
        <w:rPr>
          <w:b/>
          <w:color w:val="183048"/>
        </w:rPr>
        <w:t>Prairie Crest Law</w:t>
      </w:r>
    </w:p>
    <w:p>
      <w:r>
        <w:rPr>
          <w:color w:val="4C5966"/>
          <w:sz w:val="18"/>
        </w:rPr>
        <w:t>Complete the response areas in Word, or print and write in the spaces provided. Use the firm’s approved intake and conflict-check process; this is not legal advice.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Matter reference and responsible lawyer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Conflict and engagement acceptance 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Required identification process confirmed privately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Documents requested and secure storage 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Deadlines verified in the approved matter system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Outstanding items and responsible roles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Crest Law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Matter-opening document checklist</dc:title>
  <dc:subject>Prairie Crest Law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