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56"/>
        <w:gridCol w:w="3024"/>
      </w:tblGrid>
      <w:tr>
        <w:tc>
          <w:tcPr>
            <w:tcW w:type="dxa" w:w="5184"/>
            <w:shd w:fill="093547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r>
              <w:rPr>
                <w:b/>
                <w:color w:val="FFFFFF"/>
                <w:sz w:val="22"/>
              </w:rPr>
              <w:t>SaaSTech Servers</w:t>
            </w:r>
          </w:p>
        </w:tc>
        <w:tc>
          <w:tcPr>
            <w:tcW w:type="dxa" w:w="5184"/>
            <w:shd w:fill="EAF7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00200" cy="42672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airie-byte-logo-dark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426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pStyle w:val="Title"/>
      </w:pPr>
      <w:r>
        <w:t>IT support request planner</w:t>
      </w:r>
    </w:p>
    <w:p>
      <w:r>
        <w:t>Use this worksheet to collect enough non-sensitive information to route a support request. Do not record passwords, access codes, payment details, health information, or confidential files.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tblHeader w:val="true"/>
        </w:trPr>
        <w:tc>
          <w:tcPr>
            <w:tcW w:type="dxa" w:w="5184"/>
            <w:shd w:fill="093547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b/>
                <w:color w:val="FFFFFF"/>
              </w:rPr>
              <w:t>Request details</w:t>
            </w:r>
          </w:p>
        </w:tc>
        <w:tc>
          <w:tcPr>
            <w:tcW w:type="dxa" w:w="5184"/>
            <w:shd w:fill="093547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b/>
                <w:color w:val="FFFFFF"/>
              </w:rPr>
              <w:t>Routing notes</w:t>
            </w:r>
          </w:p>
        </w:tc>
      </w:tr>
      <w:tr>
        <w:tc>
          <w:tcPr>
            <w:tcW w:type="dxa" w:w="5184"/>
            <w:vAlign w:val="top"/>
            <w:tcMar>
              <w:top w:w="130" w:type="dxa"/>
              <w:start w:w="140" w:type="dxa"/>
              <w:bottom w:w="130" w:type="dxa"/>
              <w:end w:w="140" w:type="dxa"/>
            </w:tcMar>
          </w:tcPr>
          <w:p>
            <w:r>
              <w:t>Contact name and organization</w:t>
              <w:br/>
              <w:br/>
              <w:br/>
            </w:r>
          </w:p>
        </w:tc>
        <w:tc>
          <w:tcPr>
            <w:tcW w:type="dxa" w:w="5184"/>
            <w:vAlign w:val="top"/>
            <w:tcMar>
              <w:top w:w="130" w:type="dxa"/>
              <w:start w:w="140" w:type="dxa"/>
              <w:bottom w:w="130" w:type="dxa"/>
              <w:end w:w="140" w:type="dxa"/>
            </w:tcMar>
          </w:tcPr>
          <w:p>
            <w:r>
              <w:t>Assigned team member</w:t>
              <w:br/>
              <w:br/>
              <w:br/>
            </w:r>
          </w:p>
        </w:tc>
      </w:tr>
      <w:tr>
        <w:tc>
          <w:tcPr>
            <w:tcW w:type="dxa" w:w="5184"/>
            <w:vAlign w:val="top"/>
            <w:tcMar>
              <w:top w:w="130" w:type="dxa"/>
              <w:start w:w="140" w:type="dxa"/>
              <w:bottom w:w="130" w:type="dxa"/>
              <w:end w:w="140" w:type="dxa"/>
            </w:tcMar>
            <w:shd w:fill="F5F8F9"/>
          </w:tcPr>
          <w:p>
            <w:r>
              <w:t>Preferred reply method</w:t>
              <w:br/>
              <w:br/>
              <w:br/>
            </w:r>
          </w:p>
        </w:tc>
        <w:tc>
          <w:tcPr>
            <w:tcW w:type="dxa" w:w="5184"/>
            <w:vAlign w:val="top"/>
            <w:tcMar>
              <w:top w:w="130" w:type="dxa"/>
              <w:start w:w="140" w:type="dxa"/>
              <w:bottom w:w="130" w:type="dxa"/>
              <w:end w:w="140" w:type="dxa"/>
            </w:tcMar>
            <w:shd w:fill="F5F8F9"/>
          </w:tcPr>
          <w:p>
            <w:r>
              <w:t>Priority: routine / time-sensitive / urgent</w:t>
              <w:br/>
              <w:br/>
              <w:br/>
            </w:r>
          </w:p>
        </w:tc>
      </w:tr>
      <w:tr>
        <w:tc>
          <w:tcPr>
            <w:tcW w:type="dxa" w:w="5184"/>
            <w:vAlign w:val="top"/>
            <w:tcMar>
              <w:top w:w="130" w:type="dxa"/>
              <w:start w:w="140" w:type="dxa"/>
              <w:bottom w:w="130" w:type="dxa"/>
              <w:end w:w="140" w:type="dxa"/>
            </w:tcMar>
          </w:tcPr>
          <w:p>
            <w:r>
              <w:t>Device or service affected</w:t>
              <w:br/>
              <w:br/>
              <w:br/>
            </w:r>
          </w:p>
        </w:tc>
        <w:tc>
          <w:tcPr>
            <w:tcW w:type="dxa" w:w="5184"/>
            <w:vAlign w:val="top"/>
            <w:tcMar>
              <w:top w:w="130" w:type="dxa"/>
              <w:start w:w="140" w:type="dxa"/>
              <w:bottom w:w="130" w:type="dxa"/>
              <w:end w:w="140" w:type="dxa"/>
            </w:tcMar>
          </w:tcPr>
          <w:p>
            <w:r>
              <w:t>Service area: business IT / security / backup / repair</w:t>
              <w:br/>
              <w:br/>
              <w:br/>
            </w:r>
          </w:p>
        </w:tc>
      </w:tr>
      <w:tr>
        <w:tc>
          <w:tcPr>
            <w:tcW w:type="dxa" w:w="5184"/>
            <w:vAlign w:val="top"/>
            <w:tcMar>
              <w:top w:w="130" w:type="dxa"/>
              <w:start w:w="140" w:type="dxa"/>
              <w:bottom w:w="130" w:type="dxa"/>
              <w:end w:w="140" w:type="dxa"/>
            </w:tcMar>
            <w:shd w:fill="F5F8F9"/>
          </w:tcPr>
          <w:p>
            <w:r>
              <w:t>What stopped working</w:t>
              <w:br/>
              <w:br/>
              <w:br/>
            </w:r>
          </w:p>
        </w:tc>
        <w:tc>
          <w:tcPr>
            <w:tcW w:type="dxa" w:w="5184"/>
            <w:vAlign w:val="top"/>
            <w:tcMar>
              <w:top w:w="130" w:type="dxa"/>
              <w:start w:w="140" w:type="dxa"/>
              <w:bottom w:w="130" w:type="dxa"/>
              <w:end w:w="140" w:type="dxa"/>
            </w:tcMar>
            <w:shd w:fill="F5F8F9"/>
          </w:tcPr>
          <w:p>
            <w:r>
              <w:t>First safe troubleshooting step</w:t>
              <w:br/>
              <w:br/>
              <w:br/>
            </w:r>
          </w:p>
        </w:tc>
      </w:tr>
      <w:tr>
        <w:tc>
          <w:tcPr>
            <w:tcW w:type="dxa" w:w="5184"/>
            <w:vAlign w:val="top"/>
            <w:tcMar>
              <w:top w:w="130" w:type="dxa"/>
              <w:start w:w="140" w:type="dxa"/>
              <w:bottom w:w="130" w:type="dxa"/>
              <w:end w:w="140" w:type="dxa"/>
            </w:tcMar>
          </w:tcPr>
          <w:p>
            <w:r>
              <w:t>When the issue began</w:t>
              <w:br/>
              <w:br/>
              <w:br/>
            </w:r>
          </w:p>
        </w:tc>
        <w:tc>
          <w:tcPr>
            <w:tcW w:type="dxa" w:w="5184"/>
            <w:vAlign w:val="top"/>
            <w:tcMar>
              <w:top w:w="130" w:type="dxa"/>
              <w:start w:w="140" w:type="dxa"/>
              <w:bottom w:w="130" w:type="dxa"/>
              <w:end w:w="140" w:type="dxa"/>
            </w:tcMar>
          </w:tcPr>
          <w:p>
            <w:r>
              <w:t>Appointment or follow-up window</w:t>
              <w:br/>
              <w:br/>
              <w:br/>
            </w:r>
          </w:p>
        </w:tc>
      </w:tr>
      <w:tr>
        <w:tc>
          <w:tcPr>
            <w:tcW w:type="dxa" w:w="5184"/>
            <w:vAlign w:val="top"/>
            <w:tcMar>
              <w:top w:w="130" w:type="dxa"/>
              <w:start w:w="140" w:type="dxa"/>
              <w:bottom w:w="130" w:type="dxa"/>
              <w:end w:w="140" w:type="dxa"/>
            </w:tcMar>
            <w:shd w:fill="F5F8F9"/>
          </w:tcPr>
          <w:p>
            <w:r>
              <w:t>Error wording with private details removed</w:t>
              <w:br/>
              <w:br/>
              <w:br/>
            </w:r>
          </w:p>
        </w:tc>
        <w:tc>
          <w:tcPr>
            <w:tcW w:type="dxa" w:w="5184"/>
            <w:vAlign w:val="top"/>
            <w:tcMar>
              <w:top w:w="130" w:type="dxa"/>
              <w:start w:w="140" w:type="dxa"/>
              <w:bottom w:w="130" w:type="dxa"/>
              <w:end w:w="140" w:type="dxa"/>
            </w:tcMar>
            <w:shd w:fill="F5F8F9"/>
          </w:tcPr>
          <w:p>
            <w:r>
              <w:t>Status: new / scheduled / waiting / resolved</w:t>
              <w:br/>
              <w:br/>
              <w:br/>
            </w:r>
          </w:p>
        </w:tc>
      </w:tr>
    </w:tbl>
    <w:p>
      <w:pPr>
        <w:pStyle w:val="Heading1"/>
      </w:pPr>
      <w:r>
        <w:t>Customer-safe handoff</w:t>
      </w:r>
    </w:p>
    <w:p>
      <w:pPr>
        <w:spacing w:before="80" w:after="40"/>
      </w:pPr>
      <w:r>
        <w:rPr>
          <w:b/>
          <w:color w:val="093547"/>
        </w:rPr>
        <w:t>What the customer can try next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before="80" w:after="40"/>
      </w:pPr>
      <w:r>
        <w:rPr>
          <w:b/>
          <w:color w:val="093547"/>
        </w:rPr>
        <w:t>What Prairie Byte will do next and when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pPr>
        <w:spacing w:after="40"/>
      </w:pPr>
      <w:r>
        <w:rPr>
          <w:color w:val="D9E1E5"/>
        </w:rPr>
        <w:t>________________________________________________________________________________</w:t>
      </w:r>
    </w:p>
    <w:p>
      <w:r>
        <w:t>For emergencies, suspected account compromise, or active security incidents, use the business's verified emergency process instead of this public worksheet.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093547"/>
        <w:sz w:val="16"/>
      </w:rPr>
      <w:t>IT support request planner    saastech.net/industry/computer-it-support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