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87B7A"/>
        </w:rPr>
        <w:t>SaaSTech Servers</w:t>
      </w:r>
    </w:p>
    <w:p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break-logo-colou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Group event planning worksheet</w:t>
      </w:r>
    </w:p>
    <w:p>
      <w:r>
        <w:t>Organise an initial group enquiry and the details the venue must confirm. This worksheet is a planning aid, not a reservation, quote, contract or payment form.</w:t>
      </w:r>
    </w:p>
    <w:p>
      <w:r>
        <w:t>Type in the response lines in Word or print and write by hand. Prairie Break is a fictional learning example; replace its details with your approved business information.</w:t>
      </w:r>
    </w:p>
    <w:p>
      <w:pPr>
        <w:keepNext/>
      </w:pPr>
      <w:r>
        <w:rPr>
          <w:b/>
        </w:rPr>
        <w:t>Occasion and approximate group size</w:t>
      </w:r>
    </w:p>
    <w:p>
      <w:pPr>
        <w:spacing w:after="0" w:line="500" w:lineRule="exact"/>
        <w:pBdr>
          <w:bottom w:val="single" w:sz="3" w:color="BDCBCD"/>
        </w:pBdr>
      </w:pPr>
      <w:sdt>
        <w:sdtPr>
          <w:tag w:val="occasion0"/>
          <w:alias w:val="occasion0"/>
          <w:text/>
        </w:sdtPr>
        <w:sdtContent>
          <w:r>
            <w:t> </w:t>
          </w:r>
        </w:sdtContent>
      </w:sdt>
    </w:p>
    <w:p>
      <w:pPr>
        <w:spacing w:after="0" w:line="500" w:lineRule="exact"/>
        <w:pBdr>
          <w:bottom w:val="single" w:sz="3" w:color="BDCBCD"/>
        </w:pBdr>
      </w:pPr>
      <w:sdt>
        <w:sdtPr>
          <w:tag w:val="occasion1"/>
          <w:alias w:val="occasion1"/>
          <w:text/>
        </w:sdtPr>
        <w:sdtContent>
          <w:r>
            <w:t> </w:t>
          </w:r>
        </w:sdtContent>
      </w:sdt>
    </w:p>
    <w:p>
      <w:pPr>
        <w:keepNext/>
      </w:pPr>
      <w:r>
        <w:rPr>
          <w:b/>
        </w:rPr>
        <w:t>Preferred date time and alternatives</w:t>
      </w:r>
    </w:p>
    <w:p>
      <w:pPr>
        <w:spacing w:after="0" w:line="500" w:lineRule="exact"/>
        <w:pBdr>
          <w:bottom w:val="single" w:sz="3" w:color="BDCBCD"/>
        </w:pBdr>
      </w:pPr>
      <w:sdt>
        <w:sdtPr>
          <w:tag w:val="date0"/>
          <w:alias w:val="date0"/>
          <w:text/>
        </w:sdtPr>
        <w:sdtContent>
          <w:r>
            <w:t> </w:t>
          </w:r>
        </w:sdtContent>
      </w:sdt>
    </w:p>
    <w:p>
      <w:pPr>
        <w:spacing w:after="0" w:line="500" w:lineRule="exact"/>
        <w:pBdr>
          <w:bottom w:val="single" w:sz="3" w:color="BDCBCD"/>
        </w:pBdr>
      </w:pPr>
      <w:sdt>
        <w:sdtPr>
          <w:tag w:val="date1"/>
          <w:alias w:val="date1"/>
          <w:text/>
        </w:sdtPr>
        <w:sdtContent>
          <w:r>
            <w:t> </w:t>
          </w:r>
        </w:sdtContent>
      </w:sdt>
    </w:p>
    <w:p>
      <w:pPr>
        <w:keepNext/>
      </w:pPr>
      <w:r>
        <w:rPr>
          <w:b/>
        </w:rPr>
        <w:t>Pool arcade activities and food requests to discuss</w:t>
      </w:r>
    </w:p>
    <w:p>
      <w:pPr>
        <w:spacing w:after="0" w:line="500" w:lineRule="exact"/>
        <w:pBdr>
          <w:bottom w:val="single" w:sz="3" w:color="BDCBCD"/>
        </w:pBdr>
      </w:pPr>
      <w:sdt>
        <w:sdtPr>
          <w:tag w:val="activities0"/>
          <w:alias w:val="activities0"/>
          <w:text/>
        </w:sdtPr>
        <w:sdtContent>
          <w:r>
            <w:t> </w:t>
          </w:r>
        </w:sdtContent>
      </w:sdt>
    </w:p>
    <w:p>
      <w:pPr>
        <w:spacing w:after="0" w:line="500" w:lineRule="exact"/>
        <w:pBdr>
          <w:bottom w:val="single" w:sz="3" w:color="BDCBCD"/>
        </w:pBdr>
      </w:pPr>
      <w:sdt>
        <w:sdtPr>
          <w:tag w:val="activities1"/>
          <w:alias w:val="activities1"/>
          <w:text/>
        </w:sdtPr>
        <w:sdtContent>
          <w:r>
            <w:t> </w:t>
          </w:r>
        </w:sdtContent>
      </w:sdt>
    </w:p>
    <w:p>
      <w:pPr>
        <w:keepNext/>
      </w:pPr>
      <w:r>
        <w:rPr>
          <w:b/>
        </w:rPr>
        <w:t>Access or supervision arrangements to confirm without recording private medical details</w:t>
      </w:r>
    </w:p>
    <w:p>
      <w:pPr>
        <w:spacing w:after="0" w:line="500" w:lineRule="exact"/>
        <w:pBdr>
          <w:bottom w:val="single" w:sz="3" w:color="BDCBCD"/>
        </w:pBdr>
      </w:pPr>
      <w:sdt>
        <w:sdtPr>
          <w:tag w:val="access0"/>
          <w:alias w:val="access0"/>
          <w:text/>
        </w:sdtPr>
        <w:sdtContent>
          <w:r>
            <w:t> </w:t>
          </w:r>
        </w:sdtContent>
      </w:sdt>
    </w:p>
    <w:p>
      <w:pPr>
        <w:spacing w:after="0" w:line="500" w:lineRule="exact"/>
        <w:pBdr>
          <w:bottom w:val="single" w:sz="3" w:color="BDCBCD"/>
        </w:pBdr>
      </w:pPr>
      <w:sdt>
        <w:sdtPr>
          <w:tag w:val="access1"/>
          <w:alias w:val="access1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pStyle w:val="Title"/>
      </w:pPr>
      <w:r>
        <w:t>Confirm the arrangements</w:t>
      </w:r>
    </w:p>
    <w:p>
      <w:r>
        <w:t>Complete this page with the operator before sending a final confirmation. Keep payment details and private guest records in approved systems.</w:t>
      </w:r>
    </w:p>
    <w:p>
      <w:pPr>
        <w:keepNext/>
      </w:pPr>
      <w:r>
        <w:rPr>
          <w:b/>
        </w:rPr>
        <w:t>Availability capacity and assigned spaces</w:t>
      </w:r>
    </w:p>
    <w:p>
      <w:pPr>
        <w:spacing w:after="0" w:line="500" w:lineRule="exact"/>
        <w:pBdr>
          <w:bottom w:val="single" w:sz="3" w:color="BDCBCD"/>
        </w:pBdr>
      </w:pPr>
      <w:sdt>
        <w:sdtPr>
          <w:tag w:val="capacity0"/>
          <w:alias w:val="capacity0"/>
          <w:text/>
        </w:sdtPr>
        <w:sdtContent>
          <w:r>
            <w:t> </w:t>
          </w:r>
        </w:sdtContent>
      </w:sdt>
    </w:p>
    <w:p>
      <w:pPr>
        <w:spacing w:after="0" w:line="500" w:lineRule="exact"/>
        <w:pBdr>
          <w:bottom w:val="single" w:sz="3" w:color="BDCBCD"/>
        </w:pBdr>
      </w:pPr>
      <w:sdt>
        <w:sdtPr>
          <w:tag w:val="capacity1"/>
          <w:alias w:val="capacity1"/>
          <w:text/>
        </w:sdtPr>
        <w:sdtContent>
          <w:r>
            <w:t> </w:t>
          </w:r>
        </w:sdtContent>
      </w:sdt>
    </w:p>
    <w:p>
      <w:pPr>
        <w:spacing w:after="0" w:line="500" w:lineRule="exact"/>
        <w:pBdr>
          <w:bottom w:val="single" w:sz="3" w:color="BDCBCD"/>
        </w:pBdr>
      </w:pPr>
      <w:sdt>
        <w:sdtPr>
          <w:tag w:val="capacity2"/>
          <w:alias w:val="capacity2"/>
          <w:text/>
        </w:sdtPr>
        <w:sdtContent>
          <w:r>
            <w:t> </w:t>
          </w:r>
        </w:sdtContent>
      </w:sdt>
    </w:p>
    <w:p>
      <w:pPr>
        <w:keepNext/>
      </w:pPr>
      <w:r>
        <w:rPr>
          <w:b/>
        </w:rPr>
        <w:t>Agreed inclusions total price and payment process</w:t>
      </w:r>
    </w:p>
    <w:p>
      <w:pPr>
        <w:spacing w:after="0" w:line="500" w:lineRule="exact"/>
        <w:pBdr>
          <w:bottom w:val="single" w:sz="3" w:color="BDCBCD"/>
        </w:pBdr>
      </w:pPr>
      <w:sdt>
        <w:sdtPr>
          <w:tag w:val="price0"/>
          <w:alias w:val="price0"/>
          <w:text/>
        </w:sdtPr>
        <w:sdtContent>
          <w:r>
            <w:t> </w:t>
          </w:r>
        </w:sdtContent>
      </w:sdt>
    </w:p>
    <w:p>
      <w:pPr>
        <w:spacing w:after="0" w:line="500" w:lineRule="exact"/>
        <w:pBdr>
          <w:bottom w:val="single" w:sz="3" w:color="BDCBCD"/>
        </w:pBdr>
      </w:pPr>
      <w:sdt>
        <w:sdtPr>
          <w:tag w:val="price1"/>
          <w:alias w:val="price1"/>
          <w:text/>
        </w:sdtPr>
        <w:sdtContent>
          <w:r>
            <w:t> </w:t>
          </w:r>
        </w:sdtContent>
      </w:sdt>
    </w:p>
    <w:p>
      <w:pPr>
        <w:spacing w:after="0" w:line="500" w:lineRule="exact"/>
        <w:pBdr>
          <w:bottom w:val="single" w:sz="3" w:color="BDCBCD"/>
        </w:pBdr>
      </w:pPr>
      <w:sdt>
        <w:sdtPr>
          <w:tag w:val="price2"/>
          <w:alias w:val="price2"/>
          <w:text/>
        </w:sdtPr>
        <w:sdtContent>
          <w:r>
            <w:t> </w:t>
          </w:r>
        </w:sdtContent>
      </w:sdt>
    </w:p>
    <w:p>
      <w:pPr>
        <w:keepNext/>
      </w:pPr>
      <w:r>
        <w:rPr>
          <w:b/>
        </w:rPr>
        <w:t>Cancellation changes and confirmation conditions</w:t>
      </w:r>
    </w:p>
    <w:p>
      <w:pPr>
        <w:spacing w:after="0" w:line="500" w:lineRule="exact"/>
        <w:pBdr>
          <w:bottom w:val="single" w:sz="3" w:color="BDCBCD"/>
        </w:pBdr>
      </w:pPr>
      <w:sdt>
        <w:sdtPr>
          <w:tag w:val="terms0"/>
          <w:alias w:val="terms0"/>
          <w:text/>
        </w:sdtPr>
        <w:sdtContent>
          <w:r>
            <w:t> </w:t>
          </w:r>
        </w:sdtContent>
      </w:sdt>
    </w:p>
    <w:p>
      <w:pPr>
        <w:spacing w:after="0" w:line="500" w:lineRule="exact"/>
        <w:pBdr>
          <w:bottom w:val="single" w:sz="3" w:color="BDCBCD"/>
        </w:pBdr>
      </w:pPr>
      <w:sdt>
        <w:sdtPr>
          <w:tag w:val="terms1"/>
          <w:alias w:val="terms1"/>
          <w:text/>
        </w:sdtPr>
        <w:sdtContent>
          <w:r>
            <w:t> </w:t>
          </w:r>
        </w:sdtContent>
      </w:sdt>
    </w:p>
    <w:p>
      <w:pPr>
        <w:spacing w:after="0" w:line="500" w:lineRule="exact"/>
        <w:pBdr>
          <w:bottom w:val="single" w:sz="3" w:color="BDCBCD"/>
        </w:pBdr>
      </w:pPr>
      <w:sdt>
        <w:sdtPr>
          <w:tag w:val="terms2"/>
          <w:alias w:val="terms2"/>
          <w:text/>
        </w:sdtPr>
        <w:sdtContent>
          <w:r>
            <w:t> </w:t>
          </w:r>
        </w:sdtContent>
      </w:sdt>
    </w:p>
    <w:p>
      <w:pPr>
        <w:keepNext/>
      </w:pPr>
      <w:r>
        <w:rPr>
          <w:b/>
        </w:rPr>
        <w:t>Person responsible next action and follow up date</w:t>
      </w:r>
    </w:p>
    <w:p>
      <w:pPr>
        <w:spacing w:after="0" w:line="500" w:lineRule="exact"/>
        <w:pBdr>
          <w:bottom w:val="single" w:sz="3" w:color="BDCBCD"/>
        </w:pBdr>
      </w:pPr>
      <w:sdt>
        <w:sdtPr>
          <w:tag w:val="next0"/>
          <w:alias w:val="next0"/>
          <w:text/>
        </w:sdtPr>
        <w:sdtContent>
          <w:r>
            <w:t> </w:t>
          </w:r>
        </w:sdtContent>
      </w:sdt>
    </w:p>
    <w:p>
      <w:pPr>
        <w:spacing w:after="0" w:line="500" w:lineRule="exact"/>
        <w:pBdr>
          <w:bottom w:val="single" w:sz="3" w:color="BDCBCD"/>
        </w:pBdr>
      </w:pPr>
      <w:sdt>
        <w:sdtPr>
          <w:tag w:val="next1"/>
          <w:alias w:val="next1"/>
          <w:text/>
        </w:sdtPr>
        <w:sdtContent>
          <w:r>
            <w:t> </w:t>
          </w:r>
        </w:sdtContent>
      </w:sdt>
    </w:p>
    <w:p>
      <w:pPr>
        <w:spacing w:after="0" w:line="500" w:lineRule="exact"/>
        <w:pBdr>
          <w:bottom w:val="single" w:sz="3" w:color="BDCBCD"/>
        </w:pBdr>
      </w:pPr>
      <w:sdt>
        <w:sdtPr>
          <w:tag w:val="next2"/>
          <w:alias w:val="next2"/>
          <w:text/>
        </w:sdtPr>
        <w:sdtContent>
          <w:r>
            <w:t> </w:t>
          </w:r>
        </w:sdtContent>
      </w:sdt>
    </w:p>
    <w:sectPr w:rsidR="00FC693F" w:rsidRPr="0006063C" w:rsidSect="00034616"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t>Arcades and pool halls website guide</w:t>
      </w:r>
    </w:hyperlink>
    <w:r>
      <w:t xml:space="preserve">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arcades-pool-hal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event planning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